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320" w:before="0" w:after="0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PROJETO BÁSICO</w:t>
      </w:r>
    </w:p>
    <w:p>
      <w:pPr>
        <w:pStyle w:val="Normal"/>
        <w:spacing w:lineRule="exact" w:line="320" w:before="0" w:after="0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1. Objeto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 xml:space="preserve">Constitui objeto do presente Projeto Básico a </w:t>
      </w:r>
      <w:r>
        <w:rPr>
          <w:b/>
          <w:bCs/>
        </w:rPr>
        <w:t>execução de obras de infraestrutura esportiva no Centro Social Urbano (CSU) Durval Nicolau</w:t>
      </w:r>
      <w:r>
        <w:rPr/>
        <w:t>, compreendendo:</w:t>
      </w:r>
    </w:p>
    <w:p>
      <w:pPr>
        <w:pStyle w:val="Normal"/>
        <w:numPr>
          <w:ilvl w:val="0"/>
          <w:numId w:val="2"/>
        </w:numPr>
        <w:spacing w:lineRule="exact" w:line="320" w:before="0" w:after="0"/>
        <w:jc w:val="both"/>
        <w:rPr/>
      </w:pPr>
      <w:r>
        <w:rPr/>
        <w:t>Implantação geral com estacionamento permeável;</w:t>
      </w:r>
    </w:p>
    <w:p>
      <w:pPr>
        <w:pStyle w:val="Normal"/>
        <w:numPr>
          <w:ilvl w:val="0"/>
          <w:numId w:val="2"/>
        </w:numPr>
        <w:spacing w:lineRule="exact" w:line="320" w:before="0" w:after="0"/>
        <w:jc w:val="both"/>
        <w:rPr/>
      </w:pPr>
      <w:r>
        <w:rPr/>
        <w:t>Construção de quadra poliesportiva coberta em dimensões oficiais, com vestiários anexos;</w:t>
      </w:r>
    </w:p>
    <w:p>
      <w:pPr>
        <w:pStyle w:val="Normal"/>
        <w:numPr>
          <w:ilvl w:val="0"/>
          <w:numId w:val="2"/>
        </w:numPr>
        <w:spacing w:lineRule="exact" w:line="320" w:before="0" w:after="0"/>
        <w:jc w:val="both"/>
        <w:rPr/>
      </w:pPr>
      <w:r>
        <w:rPr/>
        <w:t>Construção de vestiários de apoio à piscina existente;</w:t>
      </w:r>
    </w:p>
    <w:p>
      <w:pPr>
        <w:pStyle w:val="Normal"/>
        <w:numPr>
          <w:ilvl w:val="0"/>
          <w:numId w:val="2"/>
        </w:numPr>
        <w:spacing w:lineRule="exact" w:line="320" w:before="0" w:after="0"/>
        <w:jc w:val="both"/>
        <w:rPr/>
      </w:pPr>
      <w:r>
        <w:rPr/>
        <w:t>Construção de guarita/deposito de materiais para apoio às aulas de natação;</w:t>
      </w:r>
    </w:p>
    <w:p>
      <w:pPr>
        <w:pStyle w:val="Normal"/>
        <w:numPr>
          <w:ilvl w:val="0"/>
          <w:numId w:val="2"/>
        </w:numPr>
        <w:spacing w:lineRule="exact" w:line="320" w:before="0" w:after="0"/>
        <w:jc w:val="both"/>
        <w:rPr/>
      </w:pPr>
      <w:r>
        <w:rPr/>
        <w:t>Reforma da guarita de acesso principal ao espaço esportivo.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A contratação tem por finalidade substituir o antigo ginásio interditado, proporcionando à comunidade infraestrutura moderna, segura, acessível e multifuncional para práticas esportivas e de lazer.</w:t>
      </w:r>
    </w:p>
    <w:p>
      <w:pPr>
        <w:pStyle w:val="Normal"/>
        <w:spacing w:lineRule="exact" w:line="320" w:before="0" w:after="0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2. Levantamentos e soluções técnicas globais e localizadas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 w:left="707"/>
        <w:jc w:val="both"/>
        <w:rPr/>
      </w:pPr>
      <w:r>
        <w:rPr>
          <w:b/>
          <w:bCs/>
          <w:i/>
          <w:iCs/>
        </w:rPr>
        <w:t>2.1 Levantamentos e estudos preliminares</w:t>
      </w:r>
    </w:p>
    <w:p>
      <w:pPr>
        <w:pStyle w:val="Normal"/>
        <w:spacing w:lineRule="exact" w:line="320" w:before="0" w:after="0"/>
        <w:ind w:firstLine="709" w:left="707"/>
        <w:jc w:val="both"/>
        <w:rPr>
          <w:b/>
          <w:bCs/>
          <w:i/>
          <w:iCs/>
        </w:rPr>
      </w:pPr>
      <w:r>
        <w:rPr>
          <w:b/>
          <w:bCs/>
          <w:i/>
          <w:iCs/>
        </w:rPr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O Projeto Básico foi elaborado com base nos seguintes levantamentos e estudos preliminares realizados pelo Departamento de Gestão e Planejamento Urbano: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a) Levantamento topográfico e planialtimétrico simplificado da área de intervenção, contendo delimitação das edificações existentes, acessos, piscina, estacionamento atual e curvas de nível aproximadas, devidamente georreferenciado;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b) Sondagens geotécnicas preliminares, que indicam solo com baixa capacidade de suporte de carga (motivo da interdição do ginásio existente), exigindo fundações especiais (estacas ou blocos de coroamento) a serem detalhadas nos projetos executivos pela contratada, nos termos da NBR 6484;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c) Histórico do solo em relação a proximidades de córregos e feixes de água juntamente com a  análise de agressividade do terreno, realizados em caráter preliminar;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d) Estudos socioambientais preliminares, que concluem impacto ambiental mínimo, restrito à geração temporária de resíduos inertes e ruídos durante a demolição e execução, com medidas de mitigação já previstas (destinação de entulho ao aterro municipal e controle de poeira);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e) Levantamento de demanda do público-alvo junto ao Departamento de Esportes, demonstrando alta procura por espaços para futsal, handebol, basquete e atividades aquáticas.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Os elementos acima asseguram a viabilidade técnica, econômica, ambiental e social da solução proposta, permitindo a avaliação precisa do custo da obra e a definição dos métodos e prazo de execução, conforme exigido pelo art. 6º, XXV, “a”, da Lei nº 14.133/2021.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 w:left="707"/>
        <w:jc w:val="both"/>
        <w:rPr/>
      </w:pPr>
      <w:r>
        <w:rPr>
          <w:b/>
          <w:bCs/>
          <w:i/>
          <w:iCs/>
        </w:rPr>
        <w:t>2.2 Soluções Técnicas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As soluções técnicas foram definidas com base no anteprojeto elaborado pelo Departamento de Gestão e Planejamento Urbano, em parceria com o Departamento de Esportes, incorporando as diretrizes e necessidades técnicas definidas a seguir:</w:t>
      </w:r>
    </w:p>
    <w:p>
      <w:pPr>
        <w:pStyle w:val="Normal"/>
        <w:numPr>
          <w:ilvl w:val="0"/>
          <w:numId w:val="3"/>
        </w:numPr>
        <w:spacing w:lineRule="exact" w:line="320" w:before="0" w:after="0"/>
        <w:jc w:val="both"/>
        <w:rPr/>
      </w:pPr>
      <w:r>
        <w:rPr/>
        <w:t>Estrutura mista (pilares de concreto armado e metálicos) e cobertura metálica galvanizada;</w:t>
      </w:r>
    </w:p>
    <w:p>
      <w:pPr>
        <w:pStyle w:val="Normal"/>
        <w:numPr>
          <w:ilvl w:val="0"/>
          <w:numId w:val="3"/>
        </w:numPr>
        <w:spacing w:lineRule="exact" w:line="320" w:before="0" w:after="0"/>
        <w:jc w:val="both"/>
        <w:rPr/>
      </w:pPr>
      <w:r>
        <w:rPr/>
        <w:t>Piso esportivo em concreto polido com pintura epóxi e marcações oficiais;</w:t>
      </w:r>
    </w:p>
    <w:p>
      <w:pPr>
        <w:pStyle w:val="Normal"/>
        <w:numPr>
          <w:ilvl w:val="0"/>
          <w:numId w:val="3"/>
        </w:numPr>
        <w:spacing w:lineRule="exact" w:line="320" w:before="0" w:after="0"/>
        <w:jc w:val="both"/>
        <w:rPr/>
      </w:pPr>
      <w:r>
        <w:rPr/>
        <w:t>Vestiários em alvenaria de blocos cerâmicos ou de concreto, com instalações hidráulicas, elétricas e de prevenção contra incêndio;</w:t>
      </w:r>
    </w:p>
    <w:p>
      <w:pPr>
        <w:pStyle w:val="Normal"/>
        <w:numPr>
          <w:ilvl w:val="0"/>
          <w:numId w:val="3"/>
        </w:numPr>
        <w:spacing w:lineRule="exact" w:line="320" w:before="0" w:after="0"/>
        <w:jc w:val="both"/>
        <w:rPr/>
      </w:pPr>
      <w:r>
        <w:rPr/>
        <w:t>Instalações completas (hidrossanitárias, elétricas, pluviais, SPDA);</w:t>
      </w:r>
    </w:p>
    <w:p>
      <w:pPr>
        <w:pStyle w:val="Normal"/>
        <w:numPr>
          <w:ilvl w:val="0"/>
          <w:numId w:val="3"/>
        </w:numPr>
        <w:spacing w:lineRule="exact" w:line="320" w:before="0" w:after="0"/>
        <w:jc w:val="both"/>
        <w:rPr/>
      </w:pPr>
      <w:r>
        <w:rPr/>
        <w:t>Estacionamento e áreas externas em pavimentação permeável com sistema de drenagem adequado;</w:t>
      </w:r>
    </w:p>
    <w:p>
      <w:pPr>
        <w:pStyle w:val="Normal"/>
        <w:numPr>
          <w:ilvl w:val="0"/>
          <w:numId w:val="3"/>
        </w:numPr>
        <w:spacing w:lineRule="exact" w:line="320" w:before="0" w:after="0"/>
        <w:jc w:val="both"/>
        <w:rPr/>
      </w:pPr>
      <w:r>
        <w:rPr/>
        <w:t>Acessibilidade universal (NBR 9050) e desempenho mínimo conforme NBR 15575.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As definições asseguram durabilidade, segurança estrutural, conforto aos usuários e otimização de manutenção.</w:t>
      </w:r>
    </w:p>
    <w:p>
      <w:pPr>
        <w:pStyle w:val="Normal"/>
        <w:spacing w:lineRule="exact" w:line="320" w:before="0" w:after="0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3. Tipos de serviços, materiais e equipamentos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Os principais serviços, materiais e equipamentos envolvidos na obra compreendem: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Serviços preliminares</w:t>
      </w:r>
      <w:r>
        <w:rPr/>
        <w:t>: limpeza do terreno, demolição do ginásio existente e edificações anexas, cercamento e sinalização da obra;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Fundações</w:t>
      </w:r>
      <w:r>
        <w:rPr/>
        <w:t>: execução conforme resultados de sondagens, incluindo remoção/adaptação das fundações existentes;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Estruturas</w:t>
      </w:r>
      <w:r>
        <w:rPr/>
        <w:t>: concreto armado para fundações e pilares; estrutura metálica galvanizada para cobertura;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Cobertura</w:t>
      </w:r>
      <w:r>
        <w:rPr/>
        <w:t>: telhas metálicas e calhas de drenagem pluvial;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Pisos</w:t>
      </w:r>
      <w:r>
        <w:rPr/>
        <w:t>: concreto polido com pintura epóxi nas áreas esportivas; cerâmica ou porcelanato em áreas molhadas;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Vestiários e guaritas</w:t>
      </w:r>
      <w:r>
        <w:rPr/>
        <w:t>: alvenaria de blocos cerâmicos/concreto, esquadrias metálicas e de alumínio;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Instalações</w:t>
      </w:r>
      <w:r>
        <w:rPr/>
        <w:t>: redes de água, esgoto, elétrica, pluvial e prevenção de incêndio;</w:t>
      </w:r>
    </w:p>
    <w:p>
      <w:pPr>
        <w:pStyle w:val="Normal"/>
        <w:numPr>
          <w:ilvl w:val="0"/>
          <w:numId w:val="4"/>
        </w:numPr>
        <w:spacing w:lineRule="exact" w:line="320" w:before="0" w:after="0"/>
        <w:jc w:val="both"/>
        <w:rPr/>
      </w:pPr>
      <w:r>
        <w:rPr>
          <w:b/>
          <w:bCs/>
        </w:rPr>
        <w:t>Estacionamento e entorno</w:t>
      </w:r>
      <w:r>
        <w:rPr/>
        <w:t>: lastro de brita/permeável, drenagem complementar e paisagismo mínimo.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Todos os materiais deverão atender às normas da ABNT e especificações técnicas do projeto executivo a ser desenvolvido pela contratada.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4. Métodos construtivos e condições organizacionais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left="142"/>
        <w:jc w:val="both"/>
        <w:rPr/>
      </w:pPr>
      <w:r>
        <w:rPr/>
        <w:t>A execução da obra seguirá as seguintes premissas:</w:t>
      </w:r>
    </w:p>
    <w:p>
      <w:pPr>
        <w:pStyle w:val="Normal"/>
        <w:spacing w:lineRule="exact" w:line="320" w:before="0" w:after="0"/>
        <w:ind w:left="142"/>
        <w:jc w:val="both"/>
        <w:rPr/>
      </w:pPr>
      <w:r>
        <w:rPr/>
      </w:r>
    </w:p>
    <w:p>
      <w:pPr>
        <w:pStyle w:val="Normal"/>
        <w:numPr>
          <w:ilvl w:val="0"/>
          <w:numId w:val="5"/>
        </w:numPr>
        <w:spacing w:lineRule="exact" w:line="320" w:before="0" w:after="0"/>
        <w:jc w:val="both"/>
        <w:rPr/>
      </w:pPr>
      <w:r>
        <w:rPr/>
        <w:t xml:space="preserve">Regime de </w:t>
      </w:r>
      <w:r>
        <w:rPr>
          <w:b/>
          <w:bCs/>
        </w:rPr>
        <w:t>contratação semi-integrada</w:t>
      </w:r>
      <w:r>
        <w:rPr/>
        <w:t>, cabendo à contratada a elaboração dos projetos executivos complementares, aprovações legais e execução da obra;</w:t>
      </w:r>
    </w:p>
    <w:p>
      <w:pPr>
        <w:pStyle w:val="Normal"/>
        <w:numPr>
          <w:ilvl w:val="0"/>
          <w:numId w:val="5"/>
        </w:numPr>
        <w:spacing w:lineRule="exact" w:line="320" w:before="0" w:after="0"/>
        <w:jc w:val="both"/>
        <w:rPr/>
      </w:pPr>
      <w:r>
        <w:rPr/>
        <w:t xml:space="preserve">Apresentação de </w:t>
      </w:r>
      <w:r>
        <w:rPr>
          <w:b/>
          <w:bCs/>
        </w:rPr>
        <w:t>Plano de Execução da Obra</w:t>
      </w:r>
      <w:r>
        <w:rPr/>
        <w:t>, contendo metodologia, logística de canteiro, cronograma detalhado, plano de segurança e gestão de resíduos;</w:t>
      </w:r>
    </w:p>
    <w:p>
      <w:pPr>
        <w:pStyle w:val="Normal"/>
        <w:numPr>
          <w:ilvl w:val="0"/>
          <w:numId w:val="5"/>
        </w:numPr>
        <w:spacing w:lineRule="exact" w:line="320" w:before="0" w:after="0"/>
        <w:jc w:val="both"/>
        <w:rPr/>
      </w:pPr>
      <w:r>
        <w:rPr/>
        <w:t xml:space="preserve">Execução mediante </w:t>
      </w:r>
      <w:r>
        <w:rPr>
          <w:b/>
          <w:bCs/>
        </w:rPr>
        <w:t>isolamento e interdição do espaço</w:t>
      </w:r>
      <w:r>
        <w:rPr/>
        <w:t>, com sinalização adequada para proteção dos trabalhadores e da comunidade;</w:t>
      </w:r>
    </w:p>
    <w:p>
      <w:pPr>
        <w:pStyle w:val="Normal"/>
        <w:numPr>
          <w:ilvl w:val="0"/>
          <w:numId w:val="5"/>
        </w:numPr>
        <w:spacing w:lineRule="exact" w:line="320" w:before="0" w:after="0"/>
        <w:jc w:val="both"/>
        <w:rPr/>
      </w:pPr>
      <w:r>
        <w:rPr/>
        <w:t>Controle tecnológico dos materiais (concreto, aço, piso, instalações), com ensaios e rastreabilidade;</w:t>
      </w:r>
    </w:p>
    <w:p>
      <w:pPr>
        <w:pStyle w:val="Normal"/>
        <w:numPr>
          <w:ilvl w:val="0"/>
          <w:numId w:val="5"/>
        </w:numPr>
        <w:spacing w:lineRule="exact" w:line="320" w:before="0" w:after="0"/>
        <w:jc w:val="both"/>
        <w:rPr/>
      </w:pPr>
      <w:r>
        <w:rPr/>
        <w:t>Cumprimento das normas de segurança do trabalho (NR-18, NR-35) e meio ambiente.</w:t>
      </w:r>
    </w:p>
    <w:p>
      <w:pPr>
        <w:pStyle w:val="Normal"/>
        <w:spacing w:lineRule="exact" w:line="320" w:before="0" w:after="0"/>
        <w:ind w:left="142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5. Subsídios para plano de licitação e gestão da obra</w:t>
      </w:r>
    </w:p>
    <w:p>
      <w:pPr>
        <w:pStyle w:val="Normal"/>
        <w:spacing w:lineRule="exact" w:line="320" w:before="0" w:after="0"/>
        <w:ind w:firstLine="709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numPr>
          <w:ilvl w:val="0"/>
          <w:numId w:val="6"/>
        </w:numPr>
        <w:spacing w:lineRule="exact" w:line="320" w:before="0" w:after="0"/>
        <w:jc w:val="both"/>
        <w:rPr/>
      </w:pPr>
      <w:r>
        <w:rPr/>
        <w:t xml:space="preserve">A obra será licitada pelo </w:t>
      </w:r>
      <w:r>
        <w:rPr>
          <w:b/>
          <w:bCs/>
        </w:rPr>
        <w:t>Regime de Contratação Semi-Integrada</w:t>
      </w:r>
      <w:r>
        <w:rPr/>
        <w:t xml:space="preserve">, critério de julgamento </w:t>
      </w:r>
      <w:r>
        <w:rPr>
          <w:b/>
          <w:bCs/>
        </w:rPr>
        <w:t>menor preço</w:t>
      </w:r>
      <w:r>
        <w:rPr/>
        <w:t xml:space="preserve"> </w:t>
      </w:r>
      <w:r>
        <w:rPr>
          <w:b/>
          <w:bCs/>
        </w:rPr>
        <w:t>global</w:t>
      </w:r>
      <w:r>
        <w:rPr/>
        <w:t>;</w:t>
      </w:r>
    </w:p>
    <w:p>
      <w:pPr>
        <w:pStyle w:val="Normal"/>
        <w:numPr>
          <w:ilvl w:val="0"/>
          <w:numId w:val="6"/>
        </w:numPr>
        <w:spacing w:lineRule="exact" w:line="320" w:before="0" w:after="0"/>
        <w:jc w:val="both"/>
        <w:rPr/>
      </w:pPr>
      <w:r>
        <w:rPr/>
        <w:t xml:space="preserve">A </w:t>
      </w:r>
      <w:r>
        <w:rPr>
          <w:b/>
          <w:bCs/>
        </w:rPr>
        <w:t>fiscalização</w:t>
      </w:r>
      <w:r>
        <w:rPr/>
        <w:t xml:space="preserve"> será realizada por engenheiros do Departamento de Gestão e Planejamento Urbano da Prefeitura;</w:t>
      </w:r>
    </w:p>
    <w:p>
      <w:pPr>
        <w:pStyle w:val="Normal"/>
        <w:numPr>
          <w:ilvl w:val="0"/>
          <w:numId w:val="6"/>
        </w:numPr>
        <w:spacing w:lineRule="exact" w:line="320" w:before="0" w:after="0"/>
        <w:jc w:val="both"/>
        <w:rPr/>
      </w:pPr>
      <w:r>
        <w:rPr/>
        <w:t xml:space="preserve">O acompanhamento contratual incluirá </w:t>
      </w:r>
      <w:r>
        <w:rPr>
          <w:b/>
          <w:bCs/>
        </w:rPr>
        <w:t>relatórios fotográficos semanais, medições mensais e reuniões de alinhamento</w:t>
      </w:r>
      <w:r>
        <w:rPr/>
        <w:t>;</w:t>
      </w:r>
    </w:p>
    <w:p>
      <w:pPr>
        <w:pStyle w:val="Normal"/>
        <w:numPr>
          <w:ilvl w:val="0"/>
          <w:numId w:val="6"/>
        </w:numPr>
        <w:spacing w:lineRule="exact" w:line="320" w:before="0" w:after="0"/>
        <w:jc w:val="both"/>
        <w:rPr/>
      </w:pPr>
      <w:r>
        <w:rPr/>
        <w:t xml:space="preserve">O pagamento será realizado conforme </w:t>
      </w:r>
      <w:r>
        <w:rPr>
          <w:b/>
          <w:bCs/>
        </w:rPr>
        <w:t>cronograma físico-financeiro</w:t>
      </w:r>
      <w:r>
        <w:rPr/>
        <w:t>, condicionado ao atesto da fiscalização;</w:t>
      </w:r>
    </w:p>
    <w:p>
      <w:pPr>
        <w:pStyle w:val="Normal"/>
        <w:numPr>
          <w:ilvl w:val="0"/>
          <w:numId w:val="6"/>
        </w:numPr>
        <w:spacing w:lineRule="exact" w:line="320" w:before="0" w:after="0"/>
        <w:jc w:val="both"/>
        <w:rPr/>
      </w:pPr>
      <w:r>
        <w:rPr/>
        <w:t>A contratada será responsável pelo fornecimento contínuo de insumos e materiais em conformidade com o cronograma;</w:t>
      </w:r>
    </w:p>
    <w:p>
      <w:pPr>
        <w:pStyle w:val="Normal"/>
        <w:numPr>
          <w:ilvl w:val="0"/>
          <w:numId w:val="6"/>
        </w:numPr>
        <w:spacing w:lineRule="exact" w:line="320" w:before="0" w:after="0"/>
        <w:jc w:val="both"/>
        <w:rPr/>
      </w:pPr>
      <w:r>
        <w:rPr/>
        <w:t>Aplicam-se sanções administrativas em caso de descumprimento contratual, conforme Lei nº 14.133/2021.</w:t>
      </w:r>
    </w:p>
    <w:p>
      <w:pPr>
        <w:pStyle w:val="Normal"/>
        <w:spacing w:lineRule="exact" w:line="320" w:before="0" w:after="0"/>
        <w:ind w:left="142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6. Cronograma físico-financeiro e orçamento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 xml:space="preserve">O orçamento detalhado e o cronograma físico-financeiro da obra encontram-se anexos a este Projeto Básico, elaborados com base em composições do </w:t>
      </w:r>
      <w:r>
        <w:rPr>
          <w:b/>
          <w:bCs/>
        </w:rPr>
        <w:t>SINAPI</w:t>
      </w:r>
      <w:r>
        <w:rPr/>
        <w:t>, garantindo compatibilidade com os preços vigentes.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>
          <w:b/>
          <w:bCs/>
        </w:rPr>
        <w:t>7. Matriz de Riscos (síntese)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  <w:t>Conforme documento anexo, os principais riscos identificados são: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Projetos executivos</w:t>
      </w:r>
      <w:r>
        <w:rPr/>
        <w:t>: responsabilidade da contratada;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Demolições e fundações</w:t>
      </w:r>
      <w:r>
        <w:rPr/>
        <w:t>: contratada responde por ajustes e adequações;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Segurança na desmontagem da estrutura metálica existente</w:t>
      </w:r>
      <w:r>
        <w:rPr/>
        <w:t>: contratada/seguradora;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Movimento de terra e drenagem</w:t>
      </w:r>
      <w:r>
        <w:rPr/>
        <w:t>: contratada;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Licenças e aprovações</w:t>
      </w:r>
      <w:r>
        <w:rPr/>
        <w:t>: responsabilidade da contratada;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Alterações legais ou de escopo</w:t>
      </w:r>
      <w:r>
        <w:rPr/>
        <w:t>: repartição entre Administração e contratada;</w:t>
      </w:r>
    </w:p>
    <w:p>
      <w:pPr>
        <w:pStyle w:val="Normal"/>
        <w:numPr>
          <w:ilvl w:val="0"/>
          <w:numId w:val="1"/>
        </w:numPr>
        <w:spacing w:lineRule="exact" w:line="320" w:before="0" w:after="0"/>
        <w:jc w:val="both"/>
        <w:rPr/>
      </w:pPr>
      <w:r>
        <w:rPr>
          <w:b/>
          <w:bCs/>
        </w:rPr>
        <w:t>Acidentes de trabalho e danos a terceiros</w:t>
      </w:r>
      <w:r>
        <w:rPr/>
        <w:t>: contratada/seguradora.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right"/>
        <w:rPr/>
      </w:pPr>
      <w:r>
        <w:rPr>
          <w:b/>
          <w:bCs/>
        </w:rPr>
        <w:t>São João da Boa Vista, 02 de março de 2025.</w:t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pStyle w:val="Normal"/>
        <w:spacing w:lineRule="exact" w:line="320" w:before="0" w:after="0"/>
        <w:ind w:firstLine="709"/>
        <w:jc w:val="both"/>
        <w:rPr/>
      </w:pPr>
      <w:r>
        <w:rPr/>
      </w:r>
    </w:p>
    <w:p>
      <w:pPr>
        <w:sectPr>
          <w:headerReference w:type="even" r:id="rId2"/>
          <w:headerReference w:type="default" r:id="rId3"/>
          <w:headerReference w:type="first" r:id="rId4"/>
          <w:footerReference w:type="even" r:id="rId5"/>
          <w:footerReference w:type="default" r:id="rId6"/>
          <w:footerReference w:type="first" r:id="rId7"/>
          <w:type w:val="nextPage"/>
          <w:pgSz w:w="11906" w:h="16838"/>
          <w:pgMar w:left="1701" w:right="1701" w:gutter="0" w:header="708" w:top="1417" w:footer="1417" w:bottom="248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Peterson Garcia Zenun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Engenheiro Civil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Júlio Luís de Almeida Lino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Engenheiro Civil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Departamento de Gestão e Planejamento Urbano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Amarildo Duzi Moraes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 xml:space="preserve">Diretor </w:t>
      </w:r>
    </w:p>
    <w:p>
      <w:pPr>
        <w:pStyle w:val="Normal"/>
        <w:spacing w:lineRule="exact" w:line="320" w:before="0" w:after="0"/>
        <w:ind w:hanging="0" w:left="0"/>
        <w:jc w:val="center"/>
        <w:rPr/>
      </w:pPr>
      <w:r>
        <w:rPr/>
        <w:t>Departamento de Gestão e Planejamento Urbano</w:t>
      </w:r>
    </w:p>
    <w:p>
      <w:pPr>
        <w:sectPr>
          <w:type w:val="continuous"/>
          <w:pgSz w:w="11906" w:h="16838"/>
          <w:pgMar w:left="1701" w:right="1701" w:gutter="0" w:header="708" w:top="1417" w:footer="1417" w:bottom="2480"/>
          <w:cols w:num="3" w:space="282" w:equalWidth="true" w:sep="false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/>
        <w:suppressAutoHyphens w:val="false"/>
        <w:bidi w:val="0"/>
        <w:spacing w:lineRule="auto" w:line="278" w:before="0" w:after="160"/>
        <w:jc w:val="left"/>
        <w:rPr/>
      </w:pPr>
      <w:r>
        <w:rPr/>
      </w:r>
    </w:p>
    <w:sectPr>
      <w:type w:val="continuous"/>
      <w:pgSz w:w="11906" w:h="16838"/>
      <w:pgMar w:left="1701" w:right="1701" w:gutter="0" w:header="708" w:top="1417" w:footer="1417" w:bottom="2480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-283"/>
      <w:jc w:val="left"/>
      <w:rPr>
        <w:sz w:val="16"/>
        <w:szCs w:val="16"/>
      </w:rPr>
    </w:pPr>
    <w:bookmarkStart w:id="0" w:name="PageNumWizard_FOOTER_Estilo_de_página_Pa"/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0</w:t>
    </w:r>
    <w:r>
      <w:rPr>
        <w:sz w:val="16"/>
        <w:szCs w:val="16"/>
      </w:rPr>
      <w:fldChar w:fldCharType="end"/>
    </w:r>
    <w:bookmarkEnd w:id="0"/>
  </w:p>
  <w:p>
    <w:pPr>
      <w:pStyle w:val="Normal"/>
      <w:spacing w:lineRule="auto" w:line="24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auto" w:line="240" w:before="0" w:after="0"/>
      <w:ind w:left="-283"/>
      <w:jc w:val="center"/>
      <w:rPr/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auto" w:line="24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-283"/>
      <w:jc w:val="right"/>
      <w:rPr>
        <w:sz w:val="16"/>
        <w:szCs w:val="16"/>
      </w:rPr>
    </w:pPr>
    <w:bookmarkStart w:id="1" w:name="PageNumWizard_FOOTER_Estilo_de_página_P1"/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bookmarkEnd w:id="1"/>
  </w:p>
  <w:p>
    <w:pPr>
      <w:pStyle w:val="Normal"/>
      <w:spacing w:lineRule="auto" w:line="24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auto" w:line="240" w:before="0" w:after="0"/>
      <w:ind w:left="-283"/>
      <w:jc w:val="center"/>
      <w:rPr/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auto" w:line="24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ind w:left="-283"/>
      <w:jc w:val="right"/>
      <w:rPr>
        <w:sz w:val="16"/>
        <w:szCs w:val="16"/>
      </w:rPr>
    </w:pPr>
    <w:bookmarkStart w:id="2" w:name="PageNumWizard_FOOTER_Estilo_de_página_P1"/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bookmarkEnd w:id="2"/>
  </w:p>
  <w:p>
    <w:pPr>
      <w:pStyle w:val="Normal"/>
      <w:spacing w:lineRule="auto" w:line="240" w:before="0" w:after="0"/>
      <w:ind w:left="-283"/>
      <w:jc w:val="center"/>
      <w:rPr>
        <w:sz w:val="16"/>
        <w:szCs w:val="16"/>
      </w:rPr>
    </w:pPr>
    <w:r>
      <w:rPr>
        <w:sz w:val="16"/>
        <w:szCs w:val="16"/>
      </w:rPr>
      <w:t xml:space="preserve">Prefeitura Municipal de São João da Boa Vista </w:t>
    </w:r>
  </w:p>
  <w:p>
    <w:pPr>
      <w:pStyle w:val="Normal"/>
      <w:spacing w:lineRule="auto" w:line="240" w:before="0" w:after="0"/>
      <w:ind w:left="-283"/>
      <w:jc w:val="center"/>
      <w:rPr/>
    </w:pPr>
    <w:r>
      <w:rPr>
        <w:sz w:val="16"/>
        <w:szCs w:val="16"/>
      </w:rPr>
      <w:t>Rua: Ana de Oliveira, 27 – Centro – São João da Boa Vista/SP – CEP 13.870-199</w:t>
    </w:r>
  </w:p>
  <w:p>
    <w:pPr>
      <w:pStyle w:val="Normal"/>
      <w:spacing w:lineRule="auto" w:line="240" w:before="0" w:after="0"/>
      <w:jc w:val="center"/>
      <w:rPr/>
    </w:pPr>
    <w:r>
      <w:rPr>
        <w:sz w:val="16"/>
        <w:szCs w:val="16"/>
      </w:rPr>
      <w:t xml:space="preserve">Fone (19) 3631-7704  -  </w:t>
    </w:r>
    <w:hyperlink r:id="rId1">
      <w:r>
        <w:rPr>
          <w:rStyle w:val="Hyperlink"/>
          <w:sz w:val="16"/>
          <w:szCs w:val="16"/>
          <w:lang w:val="en-US"/>
        </w:rPr>
        <w:t>www.saojoao.sp.gov.br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drawing>
        <wp:anchor distT="0" distB="0" distL="0" distR="0" simplePos="0" relativeHeight="5" behindDoc="1" locked="0" layoutInCell="0" allowOverlap="1">
          <wp:simplePos x="0" y="0"/>
          <wp:positionH relativeFrom="column">
            <wp:posOffset>-790575</wp:posOffset>
          </wp:positionH>
          <wp:positionV relativeFrom="paragraph">
            <wp:posOffset>-238125</wp:posOffset>
          </wp:positionV>
          <wp:extent cx="1080135" cy="1080135"/>
          <wp:effectExtent l="0" t="0" r="0" b="0"/>
          <wp:wrapSquare wrapText="right"/>
          <wp:docPr id="1" name="Figura1 Copia 1 Copia 1 Copia 1 Copia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 Copia 1 Copia 1 Copia 1 Copia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</w:rPr>
      <w:tab/>
      <w:t xml:space="preserve">          </w:t>
    </w:r>
    <w:r>
      <w:rPr>
        <w:rFonts w:ascii="Verdana" w:hAnsi="Verdana"/>
        <w:b/>
        <w:bCs/>
        <w:color w:val="818181"/>
        <w:sz w:val="32"/>
        <w:szCs w:val="32"/>
      </w:rPr>
      <w:t>Município de São João da Boa Vista</w:t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>
        <w:rFonts w:ascii="Verdana" w:hAnsi="Verdana"/>
        <w:color w:val="818181"/>
        <w:sz w:val="32"/>
        <w:szCs w:val="32"/>
      </w:rPr>
    </w:pPr>
    <w:r>
      <w:rPr>
        <w:rFonts w:ascii="Verdana" w:hAnsi="Verdana"/>
        <w:color w:val="818181"/>
        <w:sz w:val="32"/>
        <w:szCs w:val="32"/>
      </w:rPr>
      <w:tab/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rPr>
        <w:rFonts w:ascii="Verdana" w:hAnsi="Verdana"/>
        <w:color w:val="818181"/>
        <w:sz w:val="32"/>
        <w:szCs w:val="32"/>
      </w:rPr>
      <w:t xml:space="preserve">      </w:t>
    </w:r>
    <w:r>
      <w:rPr>
        <w:rFonts w:ascii="Verdana" w:hAnsi="Verdana"/>
        <w:color w:val="818181"/>
        <w:sz w:val="32"/>
        <w:szCs w:val="32"/>
      </w:rPr>
      <w:t>Departamento de Gestão e Planejamento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drawing>
        <wp:anchor distT="0" distB="0" distL="0" distR="0" simplePos="0" relativeHeight="5" behindDoc="1" locked="0" layoutInCell="0" allowOverlap="1">
          <wp:simplePos x="0" y="0"/>
          <wp:positionH relativeFrom="column">
            <wp:posOffset>-790575</wp:posOffset>
          </wp:positionH>
          <wp:positionV relativeFrom="paragraph">
            <wp:posOffset>-238125</wp:posOffset>
          </wp:positionV>
          <wp:extent cx="1080135" cy="1080135"/>
          <wp:effectExtent l="0" t="0" r="0" b="0"/>
          <wp:wrapSquare wrapText="right"/>
          <wp:docPr id="2" name="Figura1 Copia 1 Copia 1 Copia 1 Copia 1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 Copia 1 Copia 1 Copia 1 Copia 1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080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bCs/>
        <w:color w:val="818181"/>
      </w:rPr>
      <w:tab/>
      <w:t xml:space="preserve">          </w:t>
    </w:r>
    <w:r>
      <w:rPr>
        <w:rFonts w:ascii="Verdana" w:hAnsi="Verdana"/>
        <w:b/>
        <w:bCs/>
        <w:color w:val="818181"/>
        <w:sz w:val="32"/>
        <w:szCs w:val="32"/>
      </w:rPr>
      <w:t>Município de São João da Boa Vista</w:t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>
        <w:rFonts w:ascii="Verdana" w:hAnsi="Verdana"/>
        <w:color w:val="818181"/>
        <w:sz w:val="32"/>
        <w:szCs w:val="32"/>
      </w:rPr>
    </w:pPr>
    <w:r>
      <w:rPr>
        <w:rFonts w:ascii="Verdana" w:hAnsi="Verdana"/>
        <w:color w:val="818181"/>
        <w:sz w:val="32"/>
        <w:szCs w:val="32"/>
      </w:rPr>
      <w:tab/>
    </w:r>
  </w:p>
  <w:p>
    <w:pPr>
      <w:pStyle w:val="Header"/>
      <w:tabs>
        <w:tab w:val="center" w:pos="4252" w:leader="none"/>
        <w:tab w:val="center" w:pos="5955" w:leader="none"/>
        <w:tab w:val="right" w:pos="8504" w:leader="none"/>
      </w:tabs>
      <w:ind w:right="-185"/>
      <w:rPr/>
    </w:pPr>
    <w:r>
      <w:rPr>
        <w:rFonts w:ascii="Verdana" w:hAnsi="Verdana"/>
        <w:color w:val="818181"/>
        <w:sz w:val="32"/>
        <w:szCs w:val="32"/>
      </w:rPr>
      <w:t xml:space="preserve">      </w:t>
    </w:r>
    <w:r>
      <w:rPr>
        <w:rFonts w:ascii="Verdana" w:hAnsi="Verdana"/>
        <w:color w:val="818181"/>
        <w:sz w:val="32"/>
        <w:szCs w:val="32"/>
      </w:rPr>
      <w:t>Departamento de Gestão e Planejamento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db08c4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db08c4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db08c4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db08c4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db08c4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db08c4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db08c4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db08c4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db08c4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db08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db08c4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db08c4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db08c4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db08c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db08c4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db08c4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db08c4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db08c4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db08c4"/>
    <w:rPr>
      <w:b/>
      <w:bCs/>
      <w:smallCaps/>
      <w:color w:themeColor="accent1" w:themeShade="bf" w:val="2F5496"/>
      <w:spacing w:val="5"/>
    </w:rPr>
  </w:style>
  <w:style w:type="character" w:styleId="CabealhoChar" w:customStyle="1">
    <w:name w:val="Cabeçalho Char"/>
    <w:basedOn w:val="DefaultParagraphFont"/>
    <w:uiPriority w:val="99"/>
    <w:qFormat/>
    <w:rsid w:val="0014394a"/>
    <w:rPr/>
  </w:style>
  <w:style w:type="character" w:styleId="RodapChar" w:customStyle="1">
    <w:name w:val="Rodapé Char"/>
    <w:basedOn w:val="DefaultParagraphFont"/>
    <w:uiPriority w:val="99"/>
    <w:qFormat/>
    <w:rsid w:val="0014394a"/>
    <w:rPr/>
  </w:style>
  <w:style w:type="character" w:styleId="Smbolosdenumerao">
    <w:name w:val="Símbolos de numeração"/>
    <w:qFormat/>
    <w:rPr/>
  </w:style>
  <w:style w:type="character" w:styleId="Hyperlink">
    <w:name w:val="Hyperlink"/>
    <w:rPr>
      <w:color w:val="0000FF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tuloChar"/>
    <w:uiPriority w:val="10"/>
    <w:qFormat/>
    <w:rsid w:val="00db08c4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db08c4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db08c4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db08c4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db08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14394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14394a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f93843"/>
    <w:pPr/>
    <w:rPr>
      <w:rFonts w:ascii="Times New Roman" w:hAnsi="Times New Roman" w:cs="Times New Roman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http://www.saojoao.sp.gov.br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Application>LibreOffice/25.8.5.2$Windows_X86_64 LibreOffice_project/9c8b85f387cc00a89945a79c9e6239f32e450ac2</Application>
  <AppVersion>15.0000</AppVersion>
  <Pages>4</Pages>
  <Words>1022</Words>
  <Characters>6384</Characters>
  <CharactersWithSpaces>7334</CharactersWithSpaces>
  <Paragraphs>87</Paragraphs>
  <Company>PerkedleApps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2025-07-03T12:54:00Z</dcterms:created>
  <dc:creator>Peterson Garcia Zenun</dc:creator>
  <dc:description/>
  <dc:language>pt-BR</dc:language>
  <cp:lastModifiedBy/>
  <dcterms:modified xsi:type="dcterms:W3CDTF">2026-03-20T09:26:36Z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